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HotelMeistPrV — Inkrafttreten</w:t>
      </w:r>
    </w:p>
    <w:p>
      <w:r>
        <w:rPr>
          <w:color w:val="555555"/>
          <w:sz w:val="18"/>
        </w:rPr>
        <w:t xml:space="preserve">Verordnung über die Prüfung zum anerkannten Abschluss Geprüfter Hotelmeister/Geprüfte Hotelmeisterin</w:t>
      </w:r>
    </w:p>
    <w:p>
      <w:r>
        <w:rPr>
          <w:color w:val="555555"/>
          <w:sz w:val="18"/>
        </w:rPr>
        <w:t xml:space="preserve">Stand: 10.01.2020 (konsolidierte Textfassung, kein amtliches Inkrafttretensdatum)</w:t>
      </w:r>
    </w:p>
    <w:p>
      <w:r>
        <w:t xml:space="preserve">Diese Verordnung tritt am 1. Oktober 2003 in Kraft.</w:t>
      </w:r>
    </w:p>
    <w:p>
      <w:r>
        <w:rPr>
          <w:color w:val="555555"/>
          <w:sz w:val="17"/>
        </w:rPr>
        <w:t xml:space="preserve">Zitiervorschlag: § 14 HotelMeistPrV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https://recht.nulegal.eu/gesetze/HotelMeistPrV/14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