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HotelAusbV — Prüfungsbereich „Revenue-Management, Marketing und kaufmännische Steuerung“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„Revenue-Management, Marketing und kaufmännische Steuerung“ hat der Prüfling nachzuweisen, dass er in der Lage ist,</w:t>
      </w:r>
    </w:p>
    <w:p>
      <w:pPr>
        <w:ind w:left="420"/>
      </w:pPr>
      <w:r>
        <w:t xml:space="preserve">1. die betriebswirtschaftlichen Kennzahlen zu ermitteln und zu bewerten und Schlussfolgerungen abzuleiten,</w:t>
      </w:r>
    </w:p>
    <w:p>
      <w:pPr>
        <w:ind w:left="420"/>
      </w:pPr>
      <w:r>
        <w:t xml:space="preserve">2. Marktanalysen und Mitbewerbervergleiche durchzuführen, auszuwerten und Schlussfolgerungen abzuleiten,</w:t>
      </w:r>
    </w:p>
    <w:p>
      <w:pPr>
        <w:ind w:left="420"/>
      </w:pPr>
      <w:r>
        <w:t xml:space="preserve">3. Auswirkungen von direkten und indirekten Vertriebskanälen auf das Auslastungsmanagement darzustellen und Maßnahmen zur Auslastungsoptimierung vorzuschlagen,</w:t>
      </w:r>
    </w:p>
    <w:p>
      <w:pPr>
        <w:ind w:left="420"/>
      </w:pPr>
      <w:r>
        <w:t xml:space="preserve">4. die betrieblichen Prozesse im Hinblick auf Wirtschaftlichkeit und Nachhaltigkeit zu beurteilen und Verbesserungsvorschläge abzuleiten,</w:t>
      </w:r>
    </w:p>
    <w:p>
      <w:pPr>
        <w:ind w:left="420"/>
      </w:pPr>
      <w:r>
        <w:t xml:space="preserve">5. Geschäftsvorgänge zu erfassen und Zahlungsvorgänge zu bearbeiten,</w:t>
      </w:r>
    </w:p>
    <w:p>
      <w:pPr>
        <w:ind w:left="420"/>
      </w:pPr>
      <w:r>
        <w:t xml:space="preserve">6. die rechtlichen Regelungen zur Archivierung von Daten aufzuzeigen,</w:t>
      </w:r>
    </w:p>
    <w:p>
      <w:pPr>
        <w:ind w:left="420"/>
      </w:pPr>
      <w:r>
        <w:t xml:space="preserve">7. Marketingmaßnahmen auf der Grundlage von Kosten-Nutzen-Analysen zu bewerten und geeignete interne und externe Kommunikationsmaßnahmen vorzuschlagen und</w:t>
      </w:r>
    </w:p>
    <w:p>
      <w:pPr>
        <w:ind w:left="420"/>
      </w:pPr>
      <w:r>
        <w:t xml:space="preserve">8. Erhebungsmethoden zur Messung der Gästezufriedenheit zu unterscheiden oder Erhebungsergebnisse auszuwerten.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27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