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HotelAusbV — Prüfungsbereich „Veranstaltungen und Food-and-Beverage-Management“</w:t>
      </w:r>
    </w:p>
    <w:p>
      <w:r>
        <w:rPr>
          <w:color w:val="555555"/>
          <w:sz w:val="18"/>
        </w:rPr>
        <w:t xml:space="preserve">Hotelberufeausbildungsverordnung</w:t>
      </w:r>
    </w:p>
    <w:p>
      <w:r>
        <w:rPr>
          <w:color w:val="555555"/>
          <w:sz w:val="18"/>
        </w:rPr>
        <w:t xml:space="preserve">Stand: 01.08.2022 (konsolidierte Textfassung, kein amtliches Inkrafttretensdatum)</w:t>
      </w:r>
    </w:p>
    <w:p>
      <w:r>
        <w:t xml:space="preserve">(1) Im Prüfungsbereich „Veranstaltungen und Food-and-Beverage-Management“ hat der Prüfling nachzuweisen, dass er in der Lage ist,</w:t>
      </w:r>
    </w:p>
    <w:p>
      <w:pPr>
        <w:ind w:left="420"/>
      </w:pPr>
      <w:r>
        <w:t xml:space="preserve">1. gastronomische Angebote unter Berücksichtigung von Belegungszahlen, Warenbedarf, organisatorischen Anforderungen, Personaleinsatz und ökologischen sowie ökonomischen Aspekten zu planen, zu kalkulieren und zu bewerten,</w:t>
      </w:r>
    </w:p>
    <w:p>
      <w:pPr>
        <w:ind w:left="420"/>
      </w:pPr>
      <w:r>
        <w:t xml:space="preserve">2. Beschaffungsbedarfe von Lebensmitteln und Betriebsmitteln zu ermitteln und die Lebensmittel und Betriebsmittel unter Berücksichtigung von Aspekten der Qualität und der Nachhaltigkeit auszuwählen,</w:t>
      </w:r>
    </w:p>
    <w:p>
      <w:pPr>
        <w:ind w:left="420"/>
      </w:pPr>
      <w:r>
        <w:t xml:space="preserve">3. Wareneinsätze und Verkaufspreise zu kalkulieren,</w:t>
      </w:r>
    </w:p>
    <w:p>
      <w:pPr>
        <w:ind w:left="420"/>
      </w:pPr>
      <w:r>
        <w:t xml:space="preserve">4. Arbeitsschritte zur Erstellung eines Kassenabschlusses zu erläutern und mögliche Fehlerquellen aufzuzeigen,</w:t>
      </w:r>
    </w:p>
    <w:p>
      <w:pPr>
        <w:ind w:left="420"/>
      </w:pPr>
      <w:r>
        <w:t xml:space="preserve">5. Kassenberichte, insbesondere im Hinblick auf Artikel, Zahlungsmittel und verkaufsfördernde Maßnahmen, auszuwerten,</w:t>
      </w:r>
    </w:p>
    <w:p>
      <w:pPr>
        <w:ind w:left="420"/>
      </w:pPr>
      <w:r>
        <w:t xml:space="preserve">6. Warenannahmen, Warenentnahmen oder Lagerbestände unter Berücksichtigung der hygienischen, rechtlichen und ökonomischen Grundsätze sowie unter Berücksichtigung von Aspekten der Nachhaltigkeit zu kontrollieren, zu dokumentieren und bei Abweichungen von den Vorgaben betriebsübliche Korrekturmaßnahmen einzuleiten,</w:t>
      </w:r>
    </w:p>
    <w:p>
      <w:pPr>
        <w:ind w:left="420"/>
      </w:pPr>
      <w:r>
        <w:t xml:space="preserve">7. Lagerkennzahlen zu ermitteln und zu bewerten und bei Abweichungen von den Vorgaben betriebsübliche Korrekturmaßnahmen einzuleiten und</w:t>
      </w:r>
    </w:p>
    <w:p>
      <w:pPr>
        <w:ind w:left="420"/>
      </w:pPr>
      <w:r>
        <w:t xml:space="preserve">8. Veranstaltungsangebote für ein Verkaufsgespräch aufzubereiten und zielgruppenorientiert zusammenzustellen oder Ablaufpläne unter Berücksichtigung vorgegebener Rahmenbedingungen und Anforderungen zu erstellen.</w:t>
      </w:r>
    </w:p>
    <w:p>
      <w:r>
        <w:t xml:space="preserve">(2) Die Aufgaben müssen praxisbezogen sein. Der Prüfling hat die Aufgaben schriftlich zu bearbeiten.</w:t>
      </w:r>
    </w:p>
    <w:p>
      <w:r>
        <w:t xml:space="preserve">(3) Die Prüfungszeit beträgt 60 Minuten.</w:t>
      </w:r>
    </w:p>
    <w:p>
      <w:r>
        <w:rPr>
          <w:color w:val="555555"/>
          <w:sz w:val="17"/>
        </w:rPr>
        <w:t xml:space="preserve">Zitiervorschlag: § 13 HotelAusbV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