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HotelAusbV — Staatliche Anerkennung der Ausbildungsberufe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Ausbildungsberufe mit den Berufsbezeichnungen</w:t>
      </w:r>
    </w:p>
    <w:p>
      <w:pPr>
        <w:ind w:left="420"/>
      </w:pPr>
      <w:r>
        <w:t xml:space="preserve">1. Hotelfachmann und Hotelfachfrau und</w:t>
      </w:r>
    </w:p>
    <w:p>
      <w:pPr>
        <w:ind w:left="420"/>
      </w:pPr>
      <w:r>
        <w:t xml:space="preserve">2. Kaufmann für Hotelmanagement und Kauffrau für Hotelmanagement</w:t>
      </w:r>
    </w:p>
    <w:p>
      <w:r>
        <w:t xml:space="preserve">werden nach § 4 Absatz 1 des Berufsbildungsgesetzes staatlich anerkannt.</w:t>
      </w:r>
    </w:p>
    <w:p>
      <w:r>
        <w:rPr>
          <w:color w:val="555555"/>
          <w:sz w:val="17"/>
        </w:rPr>
        <w:t xml:space="preserve">Zitiervorschlag: § 1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