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HopfenDVO (Sachsen)</w:t>
      </w:r>
    </w:p>
    <w:p>
      <w:r>
        <w:rPr>
          <w:color w:val="555555"/>
          <w:sz w:val="18"/>
        </w:rPr>
        <w:t xml:space="preserve">Verordnung des Sächsischen Staatsministeriums für Umwelt und Landwirtschaft zur Durchführung des Hopfengesetzes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11. Juli 2009</w:t>
      </w:r>
    </w:p>
    <w:p>
      <w:r>
        <w:rPr>
          <w:color w:val="555555"/>
          <w:sz w:val="17"/>
        </w:rPr>
        <w:t xml:space="preserve">Zitiervorschlag: Eingangsformel HopfenDVO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https://recht.nulegal.eu/gesetze/HopfenDVO/eingangsformel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