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HopfV</w:t>
      </w:r>
    </w:p>
    <w:p>
      <w:r>
        <w:rPr>
          <w:color w:val="555555"/>
          <w:sz w:val="18"/>
        </w:rPr>
        <w:t xml:space="preserve">Verordnung zur Durchführung des gemeinschaftlichen Hopfenrechts</w:t>
      </w:r>
    </w:p>
    <w:p>
      <w:r>
        <w:rPr>
          <w:color w:val="555555"/>
          <w:sz w:val="18"/>
        </w:rPr>
        <w:t xml:space="preserve">Historische Fassung: Stand 10.06.2019 bis 15.03.2023.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HopfV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