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HopfV</w:t>
      </w:r>
    </w:p>
    <w:p>
      <w:r>
        <w:rPr>
          <w:color w:val="555555"/>
          <w:sz w:val="18"/>
        </w:rPr>
        <w:t xml:space="preserve">Verordnung zur Durchführung des gemeinschaftlichen Hopfenrechts</w:t>
      </w:r>
    </w:p>
    <w:p>
      <w:r>
        <w:rPr>
          <w:color w:val="555555"/>
          <w:sz w:val="18"/>
        </w:rPr>
        <w:t xml:space="preserve">Historische Fassung: Stand 10.06.2019 bis 15.03.2023. Dies ist nicht die aktuelle Fassung.</w:t>
      </w:r>
    </w:p>
    <w:p>
      <w:r>
        <w:t xml:space="preserve">Auf Grund des § 2 Absatz 4 und des § 3 Absatz 3 des Hopfengesetzes vom 21. Oktober 1996 (BGBl. I S. 1530), von denen § 2 Absatz 4 durch Artikel 1 des Gesetzes vom 1. Juli 2008 (BGBl. I S. 1106) eingefügt worden ist,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HopfV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