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HopfV 2023 — Genehmigung eines operationellen Programms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Die Bundesanstalt hat über die Genehmigung des operationellen Programms und des Betriebsfonds bis zum 30. Juni des Jahres der Vorlage des Antrages zu entscheiden; es sei denn, im Falle des § 5 Absatz 4 liegt die Anerkennung als Erzeugerorganisation noch nicht vor. Die Bundesanstalt kann die Genehmigung mit Bedingungen oder Auflagen verbinden. Im Fall des § 5 Absatz 1 Satz 2 hat die Bundesanstalt bis zum 31. Juli des Jahres über die Vorlage des Antrages zu entscheiden.</w:t>
      </w:r>
    </w:p>
    <w:p>
      <w:r>
        <w:t xml:space="preserve">(2) Im Fall der Vorlage eines operationellen Programms nach § 5 Absatz 4 darf das operationelle Programm abweichend von Absatz 1 erst nach der Anerkennung als Erzeugerorganisation genehmigt werden.</w:t>
      </w:r>
    </w:p>
    <w:p>
      <w:r>
        <w:rPr>
          <w:color w:val="555555"/>
          <w:sz w:val="17"/>
        </w:rPr>
        <w:t xml:space="preserve">Zitiervorschlag: § 6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