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HopfV 2023 — Ausnahmen bei höherer Gewalt und außergewöhnlichen Umständen</w:t>
      </w:r>
    </w:p>
    <w:p>
      <w:r>
        <w:rPr>
          <w:color w:val="555555"/>
          <w:sz w:val="18"/>
        </w:rPr>
        <w:t xml:space="preserve">Verordnung zur Durchführung unionsrechtlicher Vorschriften im Hopfensektor</w:t>
      </w:r>
    </w:p>
    <w:p>
      <w:r>
        <w:rPr>
          <w:color w:val="555555"/>
          <w:sz w:val="18"/>
        </w:rPr>
        <w:t xml:space="preserve">Stand: 15.03.2023 (konsolidierte Textfassung, kein amtliches Inkrafttretensdatum)</w:t>
      </w:r>
    </w:p>
    <w:p>
      <w:r>
        <w:t xml:space="preserve">(1) Die Vorschriften dieses Abschnitts gelten nicht, wenn die Verstöße auf höhere Gewalt oder außergewöhnliche Umstände im Sinne des Artikels 3 Absatz 1 der Verordnung (EU) 2021/2116 zurückzuführen sind.</w:t>
      </w:r>
    </w:p>
    <w:p>
      <w:r>
        <w:t xml:space="preserve">(2) Die anerkannte Erzeugerorganisation hat die Umstände der höheren Gewalt oder die außergewöhnlichen Umstände im Sinne des Absatzes 1 der Bundesanstalt unter Vorlage entsprechender Nachweise innerhalb von 30 Werktagen nach Eintritt der auf höhere Gewalt zurückzuführenden Umstände anzuzeigen.</w:t>
      </w:r>
    </w:p>
    <w:p>
      <w:r>
        <w:rPr>
          <w:color w:val="555555"/>
          <w:sz w:val="17"/>
        </w:rPr>
        <w:t xml:space="preserve">Zitiervorschlag: § 29 HopfV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https://recht.nulegal.eu/gesetze/HopfV%202023/29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