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HopfV 2023 — Aufrechnung</w:t>
      </w:r>
    </w:p>
    <w:p>
      <w:r>
        <w:rPr>
          <w:color w:val="555555"/>
          <w:sz w:val="18"/>
        </w:rPr>
        <w:t xml:space="preserve">Verordnung zur Durchführung unionsrechtlicher Vorschriften im Hopfensektor</w:t>
      </w:r>
    </w:p>
    <w:p>
      <w:r>
        <w:rPr>
          <w:color w:val="555555"/>
          <w:sz w:val="18"/>
        </w:rPr>
        <w:t xml:space="preserve">Stand: 15.03.2023 (konsolidierte Textfassung, kein amtliches Inkrafttretensdatum)</w:t>
      </w:r>
    </w:p>
    <w:p>
      <w:r>
        <w:t xml:space="preserve">Zu Unrecht gezahlte Beträge können mit Zahlungen des gleichen Jahres oder der Folgejahre aufgerechnet werden.</w:t>
      </w:r>
    </w:p>
    <w:p>
      <w:r>
        <w:rPr>
          <w:color w:val="555555"/>
          <w:sz w:val="17"/>
        </w:rPr>
        <w:t xml:space="preserve">Zitiervorschlag: § 28 HopfV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https://recht.nulegal.eu/gesetze/HopfV%202023/28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