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HopfV 2023 — Verwaltungssanktionen bei Verhinderung von Vor-Ort-Kontrollen und bei Verstoß gegen sonstige Pflichten</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Die Bundesanstalt hat einen Antrag auf Genehmigung eines operationellen Programms oder auf Beihilfe abzulehnen, soweit die anerkannte Erzeugerorganisation, einschließlich ihrer Mitglieder oder einschlägigen Vertreter, die Durchführung einer Vor-Ort-Kontrolle verhindert und dadurch eine Kontrolle eines bestimmten Förderzeitraums nicht möglich ist. Bereits kontrollierte Teile eines operationellen Programms oder eines Beihilfeantrags bleiben von der Ablehnung unberührt.</w:t>
      </w:r>
    </w:p>
    <w:p>
      <w:r>
        <w:t xml:space="preserve">(2) Die Bundesanstalt kann jeweils einen Antrag auf Genehmigung eines operationellen Programms oder einen Beihilfeantrag ablehnen, sofern die anerkannte Erzeugerorganisation, einschließlich ihrer Mitglieder oder einschlägigen Vertreter, gegen andere nach dieser Verordnung oder unionsrechtlich geregelte und jeweils im Zusammenhang mit der Genehmigung eines operationellen Programms oder des Beihilfeantrags stehende Duldungs-, Mitteilungs- oder Mitwirkungspflichten verstößt.</w:t>
      </w:r>
    </w:p>
    <w:p>
      <w:r>
        <w:rPr>
          <w:color w:val="555555"/>
          <w:sz w:val="17"/>
        </w:rPr>
        <w:t xml:space="preserve">Zitiervorschlag: § 26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