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HopfV 2023 — Verwaltungssanktionen bei Verstößen im Zusammenhang mit dem jährlichen Leistungsbericht</w:t>
      </w:r>
    </w:p>
    <w:p>
      <w:r>
        <w:rPr>
          <w:color w:val="555555"/>
          <w:sz w:val="18"/>
        </w:rPr>
        <w:t xml:space="preserve">Verordnung zur Durchführung unionsrechtlicher Vorschriften im Hopfensektor</w:t>
      </w:r>
    </w:p>
    <w:p>
      <w:r>
        <w:rPr>
          <w:color w:val="555555"/>
          <w:sz w:val="18"/>
        </w:rPr>
        <w:t xml:space="preserve">Stand: 15.03.2023 (konsolidierte Textfassung, kein amtliches Inkrafttretensdatum)</w:t>
      </w:r>
    </w:p>
    <w:p>
      <w:r>
        <w:t xml:space="preserve">§ 23 ist entsprechend anzuwenden, sofern eine anerkannte Erzeugerorganisation der Bundesanstalt die für den jährlichen Leistungsbericht nach Artikel 134 der Verordnung (EU) 2021/2115 erforderlichen Angaben nicht oder nicht vollständig übermittelt.</w:t>
      </w:r>
    </w:p>
    <w:p>
      <w:r>
        <w:rPr>
          <w:color w:val="555555"/>
          <w:sz w:val="17"/>
        </w:rPr>
        <w:t xml:space="preserve">Zitiervorschlag: § 24 HopfV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https://recht.nulegal.eu/gesetze/HopfV%202023/24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