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HopfV 2023 — Rechnungsführung</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(1) Die im Rahmen des operationellen Programms getätigten Ausgaben sind durch Rechnungen und Zahlungsnachweise zu belegen. Rechnungen müssen auf den Namen der anerkannten Erzeugerorganisation oder auf den Namen eines oder mehrerer ihrer angeschlossenen Erzeuger ausgestellt sein.</w:t>
      </w:r>
    </w:p>
    <w:p>
      <w:r>
        <w:t xml:space="preserve">(2) Für die förderfähigen Personalkosten müssen die Rechnungen auf den Namen der anerkannten Erzeugerorganisation ausgestellt sein.</w:t>
      </w:r>
    </w:p>
    <w:p>
      <w:r>
        <w:rPr>
          <w:color w:val="555555"/>
          <w:sz w:val="17"/>
        </w:rPr>
        <w:t xml:space="preserve">Zitiervorschlag: § 15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