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HopfV 2023 — Anwendungsbereich und Zuständigkeit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Die Vorschriften dieser Verordnung gelten für die Durchführung der Rechtsakte der Europäischen Gemeinschaft oder der Europäischen Union (Unionsrecht)</w:t>
      </w:r>
    </w:p>
    <w:p>
      <w:pPr>
        <w:ind w:left="420"/>
      </w:pPr>
      <w:r>
        <w:t xml:space="preserve">1. über</w:t>
      </w:r>
    </w:p>
    <w:p>
      <w:pPr>
        <w:ind w:left="780"/>
      </w:pPr>
      <w:r>
        <w:t xml:space="preserve">a) die Zertifizierung,</w:t>
      </w:r>
    </w:p>
    <w:p>
      <w:pPr>
        <w:ind w:left="780"/>
      </w:pPr>
      <w:r>
        <w:t xml:space="preserve">b) das Bescheinigungsverfahren,</w:t>
      </w:r>
    </w:p>
    <w:p>
      <w:pPr>
        <w:ind w:left="780"/>
      </w:pPr>
      <w:r>
        <w:t xml:space="preserve">c) die Kontrolle nicht der Zertifizierung unterliegender Erzeugnisse,</w:t>
      </w:r>
    </w:p>
    <w:p>
      <w:pPr>
        <w:ind w:left="780"/>
      </w:pPr>
      <w:r>
        <w:t xml:space="preserve">d) die Verarbeitung,</w:t>
      </w:r>
    </w:p>
    <w:p>
      <w:pPr>
        <w:ind w:left="780"/>
      </w:pPr>
      <w:r>
        <w:t xml:space="preserve">e) das Vermischen,</w:t>
      </w:r>
    </w:p>
    <w:p>
      <w:pPr>
        <w:ind w:left="780"/>
      </w:pPr>
      <w:r>
        <w:t xml:space="preserve">f) die Behandlung und</w:t>
      </w:r>
    </w:p>
    <w:p>
      <w:pPr>
        <w:ind w:left="780"/>
      </w:pPr>
      <w:r>
        <w:t xml:space="preserve">g) das Inverkehrbringen</w:t>
      </w:r>
    </w:p>
    <w:p>
      <w:pPr>
        <w:ind w:left="420"/>
      </w:pPr>
      <w:r>
        <w:t xml:space="preserve">der Erzeugnisse, die der gemeinsamen Marktorganisation für landwirtschaftliche Erzeugnisse für den Sektor Hopfen unterliegen, sowie</w:t>
      </w:r>
    </w:p>
    <w:p>
      <w:pPr>
        <w:ind w:left="420"/>
      </w:pPr>
      <w:r>
        <w:t xml:space="preserve">2. über die Gewährung und Kontrolle von Vergünstigungen (Beihilfen) an anerkannte Erzeugerorganisationen im Sektor Hopfen im Rahmen der Regelungen über die Strategiepläne der Gemeinsamen Agrarpolitik (GAP-Strategiepläne).</w:t>
      </w:r>
    </w:p>
    <w:p>
      <w:r>
        <w:t xml:space="preserve">(2) Die Bundesanstalt für Landwirtschaft und Ernährung (Bundesanstalt) ist zuständig für die Durchführung des Unionsrechts und dieser Verordnung, soweit in dieser Verordnung nicht anderes bestimmt ist.</w:t>
      </w:r>
    </w:p>
    <w:p>
      <w:r>
        <w:rPr>
          <w:color w:val="555555"/>
          <w:sz w:val="17"/>
        </w:rPr>
        <w:t xml:space="preserve">Zitiervorschlag: § 1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