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HopfG — Inkrafttreten, Außerkrafttreten</w:t>
      </w:r>
    </w:p>
    <w:p>
      <w:r>
        <w:rPr>
          <w:color w:val="555555"/>
          <w:sz w:val="18"/>
        </w:rPr>
        <w:t xml:space="preserve">Hopfengesetz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2 und 3 Abs. 3 treten am Tage nach der Verkündung in Kraft.</w:t>
      </w:r>
    </w:p>
    <w:p>
      <w:r>
        <w:t xml:space="preserve">(2) Dieses Gesetz tritt im übrigen am 1. April 1997 in Kraft.</w:t>
      </w:r>
    </w:p>
    <w:p>
      <w:r>
        <w:rPr>
          <w:color w:val="555555"/>
          <w:sz w:val="17"/>
        </w:rPr>
        <w:t xml:space="preserve">Zitiervorschlag: § 6 HopfG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