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HopfG — Übertragung von Ermächtigungen</w:t>
      </w:r>
    </w:p>
    <w:p>
      <w:r>
        <w:rPr>
          <w:color w:val="555555"/>
          <w:sz w:val="18"/>
        </w:rPr>
        <w:t xml:space="preserve">Hopfengesetz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dieses Gesetz die Landesregierungen zum Erlaß von Rechtsverordnungen ermächtigt, sind diese befugt, die Ermächtigung durch Rechtsverordnung ganz oder teilweise auf andere Behörden zu übertragen.</w:t>
      </w:r>
    </w:p>
    <w:p>
      <w:r>
        <w:rPr>
          <w:color w:val="555555"/>
          <w:sz w:val="17"/>
        </w:rPr>
        <w:t xml:space="preserve">Zitiervorschlag: § 4 HopfG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