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HopfG — Bußgeldvorschriften</w:t>
      </w:r>
    </w:p>
    <w:p>
      <w:r>
        <w:rPr>
          <w:color w:val="555555"/>
          <w:sz w:val="18"/>
        </w:rPr>
        <w:t xml:space="preserve">Hopfengesetz</w:t>
      </w:r>
    </w:p>
    <w:p>
      <w:r>
        <w:rPr>
          <w:color w:val="555555"/>
          <w:sz w:val="18"/>
        </w:rPr>
        <w:t xml:space="preserve">Stand: 07.10.2022 (konsolidierte Textfassung, kein amtliches Inkrafttretensdatum)</w:t>
      </w:r>
    </w:p>
    <w:p>
      <w:r>
        <w:t xml:space="preserve">(1) Ordnungswidrig handelt, wer vorsätzlich oder fahrlässig</w:t>
      </w:r>
    </w:p>
    <w:p>
      <w:pPr>
        <w:ind w:left="420"/>
      </w:pPr>
      <w:r>
        <w:t xml:space="preserve">1. einer Rechtsverordnung nach § 2 Abs. 3 Nr. 1 Buchstabe b oder Nr. 2 Buchstabe b zuwiderhandelt, soweit sie für einen bestimmten Tatbestand auf diese Bußgeldvorschrift verweist, oder</w:t>
      </w:r>
    </w:p>
    <w:p>
      <w:pPr>
        <w:ind w:left="420"/>
      </w:pPr>
      <w:r>
        <w:t xml:space="preserve">2. einer unmittelbar geltenden Vorschrift in Rechtsakten der Europäischen Gemeinschaft oder der Europäischen Union zuwiderhandelt, die inhaltlich einer Regelung entspricht, zu der die in Nummer 1 genannten Vorschriften ermächtigen, soweit eine Rechtsverordnung nach Absatz 3 für einen bestimmten Tatbestand auf diese Bußgeldvorschrift verweist.</w:t>
      </w:r>
    </w:p>
    <w:p>
      <w:r>
        <w:t xml:space="preserve">(2) Die Ordnungswidrigkeit kann mit einer Geldbuße bis zu fünfundzwanzigtausend Euro geahndet werden.</w:t>
      </w:r>
    </w:p>
    <w:p>
      <w:r>
        <w:t xml:space="preserve">(3) Das Bundesministerium für Ernährung und Landwirtschaft wird ermächtigt, soweit es zur Durchsetzung der Rechtsakte der Europäischen Gemeinschaft oder der Europäischen Union erforderlich ist, durch Rechtsverordnung ohne Zustimmung des Bundesrates die Tatbestände zu bezeichnen, die als Ordnungswidrigkeit nach Absatz 1 Nr. 2 geahndet werden können.</w:t>
      </w:r>
    </w:p>
    <w:p>
      <w:r>
        <w:t xml:space="preserve">(4) Ist eine Ordnungswidrigkeit nach Absatz 1 begangen worden, so können Gegenstände, auf die sich die Ordnungswidrigkeit bezieht, eingezogen werden. § 23 des Gesetzes über Ordnungswidrigkeiten ist anzuwenden.</w:t>
      </w:r>
    </w:p>
    <w:p>
      <w:r>
        <w:rPr>
          <w:color w:val="555555"/>
          <w:sz w:val="17"/>
        </w:rPr>
        <w:t xml:space="preserve">Zitiervorschlag: § 3 HopfG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