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HopfG — Anwendungsbereich</w:t>
      </w:r>
    </w:p>
    <w:p>
      <w:r>
        <w:rPr>
          <w:color w:val="555555"/>
          <w:sz w:val="18"/>
        </w:rPr>
        <w:t xml:space="preserve">Hopfengesetz</w:t>
      </w:r>
    </w:p>
    <w:p>
      <w:r>
        <w:rPr>
          <w:color w:val="555555"/>
          <w:sz w:val="18"/>
        </w:rPr>
        <w:t xml:space="preserve">Stand: 07.10.2022 (konsolidierte Textfassung, kein amtliches Inkrafttretensdatum)</w:t>
      </w:r>
    </w:p>
    <w:p>
      <w:r>
        <w:t xml:space="preserve">(1) Dieses Gesetz gilt für die Durchführung der Rechtsakte der Europäischen Gemeinschaft oder der Europäischen Union</w:t>
      </w:r>
    </w:p>
    <w:p>
      <w:pPr>
        <w:ind w:left="420"/>
      </w:pPr>
      <w:r>
        <w:t xml:space="preserve">1. über</w:t>
      </w:r>
    </w:p>
    <w:p>
      <w:pPr>
        <w:ind w:left="780"/>
      </w:pPr>
      <w:r>
        <w:t xml:space="preserve">a) die Zertifizierung,</w:t>
      </w:r>
    </w:p>
    <w:p>
      <w:pPr>
        <w:ind w:left="780"/>
      </w:pPr>
      <w:r>
        <w:t xml:space="preserve">b) das Bescheinigungsverfahren,</w:t>
      </w:r>
    </w:p>
    <w:p>
      <w:pPr>
        <w:ind w:left="780"/>
      </w:pPr>
      <w:r>
        <w:t xml:space="preserve">c) die Kontrolle, soweit keine Zertifizierung stattfindet,</w:t>
      </w:r>
    </w:p>
    <w:p>
      <w:pPr>
        <w:ind w:left="780"/>
      </w:pPr>
      <w:r>
        <w:t xml:space="preserve">d) die Verarbeitung,</w:t>
      </w:r>
    </w:p>
    <w:p>
      <w:pPr>
        <w:ind w:left="780"/>
      </w:pPr>
      <w:r>
        <w:t xml:space="preserve">e) das Vermischen,</w:t>
      </w:r>
    </w:p>
    <w:p>
      <w:pPr>
        <w:ind w:left="780"/>
      </w:pPr>
      <w:r>
        <w:t xml:space="preserve">f) die Behandlung und</w:t>
      </w:r>
    </w:p>
    <w:p>
      <w:pPr>
        <w:ind w:left="780"/>
      </w:pPr>
      <w:r>
        <w:t xml:space="preserve">g) das Inverkehrbringen</w:t>
      </w:r>
    </w:p>
    <w:p>
      <w:pPr>
        <w:ind w:left="420"/>
      </w:pPr>
      <w:r>
        <w:t xml:space="preserve">der Erzeugnisse, die der gemeinsamen Marktorganisation für landwirtschaftliche Erzeugnisse für den Sektor Hopfen unterliegen, sowie</w:t>
      </w:r>
    </w:p>
    <w:p>
      <w:pPr>
        <w:ind w:left="420"/>
      </w:pPr>
      <w:r>
        <w:t xml:space="preserve">2. über die Gewährung und Kontrolle von Vergünstigungen (Beihilfen) an anerkannte Erzeugerorganisationen im Sektor Hopfen im Rahmen der Regelungen über die Strategiepläne der Gemeinsamen Agrarpolitik (GAP-Strategiepläne).</w:t>
      </w:r>
    </w:p>
    <w:p>
      <w:r>
        <w:t xml:space="preserve">(2) Dieses Gesetz ist ein Gesetz im Sinne des § 1 Absatz 2 Nummer 4 des Marktorganisationsgesetzes mit den Maßgaben, dass</w:t>
      </w:r>
    </w:p>
    <w:p>
      <w:pPr>
        <w:ind w:left="420"/>
      </w:pPr>
      <w:r>
        <w:t xml:space="preserve">1. in Fällen des Absatzes 1 Nummer 2 Rechtsverordnungen auch erlassen werden können, um die Rechtsakte und dieses Gesetz sachgerecht durchzuführen und</w:t>
      </w:r>
    </w:p>
    <w:p>
      <w:pPr>
        <w:ind w:left="420"/>
      </w:pPr>
      <w:r>
        <w:t xml:space="preserve">2. der Abschnitt 3 des Marktorganisationsgesetzes nicht anzuwenden ist.</w:t>
      </w:r>
    </w:p>
    <w:p>
      <w:r>
        <w:rPr>
          <w:color w:val="555555"/>
          <w:sz w:val="17"/>
        </w:rPr>
        <w:t xml:space="preserve">Zitiervorschlag: § 1 HopfG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