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HopfEinV — Inkrafttreten, Außerkrafttreten</w:t>
      </w:r>
    </w:p>
    <w:p>
      <w:r>
        <w:rPr>
          <w:color w:val="555555"/>
          <w:sz w:val="18"/>
        </w:rPr>
        <w:t xml:space="preserve">Hopfen-Einfuhrverordnung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4 HopfEinV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https://recht.nulegal.eu/gesetze/HopfEinV/4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