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HopfEinV — Ordnungswidrigkeiten</w:t>
      </w:r>
    </w:p>
    <w:p>
      <w:r>
        <w:rPr>
          <w:color w:val="555555"/>
          <w:sz w:val="18"/>
        </w:rPr>
        <w:t xml:space="preserve">Hopfen-Einfuhrverordnung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im Sinne des § 36 Abs. 4 Satz 1 des Gesetzes zur Durchführung der Gemeinsamen Marktorganisationen und der Direktzahlungen handelt, wer gegen die Verordnung (EWG) Nr. 3076/78 verstößt, indem er vorsätzlich oder fahrlässig</w:t>
      </w:r>
    </w:p>
    <w:p>
      <w:pPr>
        <w:ind w:left="420"/>
      </w:pPr>
      <w:r>
        <w:t xml:space="preserve">1. entgegen Artikel 7 eine Partie nach ihrer Überführung in den freien Verkehr weiterverkauft oder aufteilt, ohne daß das Erzeugnis von einer vorgeschriebenen Rechnung oder vom Verkäufer ausgestellten Geschäftsunterlage begleitet wird oder</w:t>
      </w:r>
    </w:p>
    <w:p>
      <w:pPr>
        <w:ind w:left="420"/>
      </w:pPr>
      <w:r>
        <w:t xml:space="preserve">2. entgegen Artikel 7a Abs. 2 eine Partie vermarktet.</w:t>
      </w:r>
    </w:p>
    <w:p>
      <w:r>
        <w:t xml:space="preserve">(2) Ordnungswidrig im Sinne des § 36 Abs. 3 Nr. 3 des Gesetzes zur Durchführung der Gemeinsamen Marktorganisationen und der Direktzahlungen handelt, wer vorsätzlich oder leichtfertig entgegen § 2 ein Erzeugnis in den Geltungsbereich dieser Verordnung verbringt.</w:t>
      </w:r>
    </w:p>
    <w:p>
      <w:r>
        <w:rPr>
          <w:color w:val="555555"/>
          <w:sz w:val="17"/>
        </w:rPr>
        <w:t xml:space="preserve">Zitiervorschlag: § 3 HopfEinV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https://recht.nulegal.eu/gesetze/HopfEinV/3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