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HopfEinV — Einfuhr</w:t>
      </w:r>
    </w:p>
    <w:p>
      <w:r>
        <w:rPr>
          <w:color w:val="555555"/>
          <w:sz w:val="18"/>
        </w:rPr>
        <w:t xml:space="preserve">Hopfen-Einfuhrverordnung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Erzeugnisse aus Drittländern dürfen vorbehaltlich des Artikels 8 der Verordnung (EWG) Nr. 3076/78 der Kommission vom 21. Dezember 1978 über die Einfuhr von Hopfen aus Drittländern (ABl. EG Nr. L 367 S. 17), zuletzt geändert durch die Verordnung (EWG) Nr. 2918/93 der Kommission vom 22. Oktober 1993 (ABl. EG Nr. L 264 S. 37), nur mit dem in Artikel 1 Abs. 1 und 2 der Verordnung (EWG) Nr. 3076/78 genannten Nachweis in den Geltungsbereich dieser Verordnung verbracht werden.</w:t>
      </w:r>
    </w:p>
    <w:p>
      <w:r>
        <w:rPr>
          <w:color w:val="555555"/>
          <w:sz w:val="17"/>
        </w:rPr>
        <w:t xml:space="preserve">Zitiervorschlag: § 2 HopfEinV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https://recht.nulegal.eu/gesetze/HopfEinV/2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