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HonigV 2004 — Inkrafttreten, Außerkrafttreten</w:t>
      </w:r>
    </w:p>
    <w:p>
      <w:r>
        <w:rPr>
          <w:color w:val="555555"/>
          <w:sz w:val="18"/>
        </w:rPr>
        <w:t xml:space="preserve">Honigverordnung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Verordnung tritt am Tag nach der Verkündung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7 HonigV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https://recht.nulegal.eu/gesetze/HonigV%202004/7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