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HonigV 2004 — Verkehrsverbote</w:t>
      </w:r>
    </w:p>
    <w:p>
      <w:r>
        <w:rPr>
          <w:color w:val="555555"/>
          <w:sz w:val="18"/>
        </w:rPr>
        <w:t xml:space="preserve">Honigverordnung</w:t>
      </w:r>
    </w:p>
    <w:p>
      <w:r>
        <w:rPr>
          <w:color w:val="555555"/>
          <w:sz w:val="18"/>
        </w:rPr>
        <w:t xml:space="preserve">Stand: 14.06.2026 (konsolidierte Textfassung, kein amtliches Inkrafttretensdatum)</w:t>
      </w:r>
    </w:p>
    <w:p>
      <w:r>
        <w:t xml:space="preserve">Nicht in den Verkehr gebracht werden dürfen:</w:t>
      </w:r>
    </w:p>
    <w:p>
      <w:pPr>
        <w:ind w:left="420"/>
      </w:pPr>
      <w:r>
        <w:t xml:space="preserve">1. Lebensmittel, die mit einer in Anlage 1 aufgeführten Bezeichnung versehen sind, ohne den in Anlage 1 genannten Begriffsbestimmungen oder den Vorschriften des § 2 zu entsprechen,</w:t>
      </w:r>
    </w:p>
    <w:p>
      <w:pPr>
        <w:ind w:left="420"/>
      </w:pPr>
      <w:r>
        <w:t xml:space="preserve">2. Honig, dessen Bezeichnung durch die in § 3 Absatz 3 vorgesehenen Angaben ergänzt ist, ohne den dort genannten Anforderungen zu entsprechen,</w:t>
      </w:r>
    </w:p>
    <w:p>
      <w:pPr>
        <w:ind w:left="420"/>
      </w:pPr>
      <w:r>
        <w:t xml:space="preserve">3. Erzeugnisse im Sinne der Anlage 1, die nicht mit einer nach § 3 Absatz 4, auch in Verbindung mit Absatz 6 Satz 1, oder Absatz 7 vorgeschriebenen Angabe versehen sind.</w:t>
      </w:r>
    </w:p>
    <w:p>
      <w:r>
        <w:rPr>
          <w:color w:val="555555"/>
          <w:sz w:val="17"/>
        </w:rPr>
        <w:t xml:space="preserve">Zitiervorschlag: § 4 HonigV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https://recht.nulegal.eu/gesetze/HonigV%202004/4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