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HonigV 2004 — Anforderungen an die Beschaffenheit</w:t>
      </w:r>
    </w:p>
    <w:p>
      <w:r>
        <w:rPr>
          <w:color w:val="555555"/>
          <w:sz w:val="18"/>
        </w:rPr>
        <w:t xml:space="preserve">Honigverordnung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(1) Honig muss hinsichtlich seiner Beschaffenheit den Anforderungen nach Anlage 2 entsprechen.</w:t>
      </w:r>
    </w:p>
    <w:p>
      <w:r>
        <w:t xml:space="preserve">(2) Pollen ist ein natürlicher Bestandteil von Honig und keine Zutat im Sinne von Artikel 2 Absatz 2 Buchstabe f der Verordnung (EU) Nr. 1169/2011.</w:t>
      </w:r>
    </w:p>
    <w:p>
      <w:r>
        <w:rPr>
          <w:color w:val="555555"/>
          <w:sz w:val="17"/>
        </w:rPr>
        <w:t xml:space="preserve">Zitiervorschlag: § 2 HonigV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https://recht.nulegal.eu/gesetze/HonigV%202004/2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