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HomTAMRegV — Information der Öffentlichkeit</w:t>
      </w:r>
    </w:p>
    <w:p>
      <w:r>
        <w:rPr>
          <w:color w:val="555555"/>
          <w:sz w:val="18"/>
        </w:rPr>
        <w:t xml:space="preserve">Homöopathische Tierarzneimittel-Registrierungsverordnung</w:t>
      </w:r>
    </w:p>
    <w:p>
      <w:r>
        <w:rPr>
          <w:color w:val="555555"/>
          <w:sz w:val="18"/>
        </w:rPr>
        <w:t xml:space="preserve">Stand: 19.07.2022 (konsolidierte Textfassung, kein amtliches Inkrafttretensdatum)</w:t>
      </w:r>
    </w:p>
    <w:p>
      <w:r>
        <w:t xml:space="preserve">Die zuständige Bundesoberbehörde hat die Rücknahme, den Widerruf oder das Ruhen der Registrierung oder den Verzicht nach § 7 im Bundesanzeiger bekannt zu machen.</w:t>
      </w:r>
    </w:p>
    <w:p>
      <w:r>
        <w:rPr>
          <w:color w:val="555555"/>
          <w:sz w:val="17"/>
        </w:rPr>
        <w:t xml:space="preserve">Zitiervorschlag: § 8 HomTAMRegV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https://recht.nulegal.eu/gesetze/HomTAMRegV/8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