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HomTAMRegV — Erlöschen einer Registrierung durch Verzicht</w:t>
      </w:r>
    </w:p>
    <w:p>
      <w:r>
        <w:rPr>
          <w:color w:val="555555"/>
          <w:sz w:val="18"/>
        </w:rPr>
        <w:t xml:space="preserve">Homöopathische Tierarzneimittel-Registrierungsverordnung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Hinsichtlich des Erlöschens der Registrierung für ein homöopathisches Tierarzneimittel durch Verzicht gilt § 9 Absatz 5 des Tierarzneimittelgesetzes entsprechend.</w:t>
      </w:r>
    </w:p>
    <w:p>
      <w:r>
        <w:rPr>
          <w:color w:val="555555"/>
          <w:sz w:val="17"/>
        </w:rPr>
        <w:t xml:space="preserve">Zitiervorschlag: § 7 HomTAMRegV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https://recht.nulegal.eu/gesetze/HomTAMRegV/7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