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HomTAMRegV — Neue Registrierung</w:t>
      </w:r>
    </w:p>
    <w:p>
      <w:r>
        <w:rPr>
          <w:color w:val="555555"/>
          <w:sz w:val="18"/>
        </w:rPr>
        <w:t xml:space="preserve">Homöopathische Tierarzneimittel-Registrierungsverordnung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Die Inhaberin oder der Inhaber der Registrierung hat im Fall folgender Änderungen eine neue Registrierung zu beantragen:</w:t>
      </w:r>
    </w:p>
    <w:p>
      <w:pPr>
        <w:ind w:left="420"/>
      </w:pPr>
      <w:r>
        <w:t xml:space="preserve">1. Änderung der Zusammensetzung der Ursubstanzen nach Art oder Menge, einschließlich einer Änderung des Verdünnungsgrades oder</w:t>
      </w:r>
    </w:p>
    <w:p>
      <w:pPr>
        <w:ind w:left="420"/>
      </w:pPr>
      <w:r>
        <w:t xml:space="preserve">2. Änderung der Darreichungsform, wenn diese mit der registrierten Darreichungsform nicht vergleichbar ist.</w:t>
      </w:r>
    </w:p>
    <w:p>
      <w:r>
        <w:rPr>
          <w:color w:val="555555"/>
          <w:sz w:val="17"/>
        </w:rPr>
        <w:t xml:space="preserve">Zitiervorschlag: § 5 HomTAMRegV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https://recht.nulegal.eu/gesetze/HomTAMRegV/5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