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HomTAMRegV — Geltung der Registrierung, Auflagen</w:t>
      </w:r>
    </w:p>
    <w:p>
      <w:r>
        <w:rPr>
          <w:color w:val="555555"/>
          <w:sz w:val="18"/>
        </w:rPr>
        <w:t xml:space="preserve">Homöopathische Tierarzneimittel-Registrierungsverordnung</w:t>
      </w:r>
    </w:p>
    <w:p>
      <w:r>
        <w:rPr>
          <w:color w:val="555555"/>
          <w:sz w:val="18"/>
        </w:rPr>
        <w:t xml:space="preserve">Stand: 19.07.2022 (konsolidierte Textfassung, kein amtliches Inkrafttretensdatum)</w:t>
      </w:r>
    </w:p>
    <w:p>
      <w:r>
        <w:t xml:space="preserve">(1) Die Registrierung gilt für das im Registrierungsbescheid aufgeführte homöopathische Tierarzneimittel oder die im Registrierungsbescheid aufgeführte Serie homöopathischer Tierarzneimittel der gleichen Darreichungsform, die aus der gleichen homöopathischen Ursubstanz oder den gleichen homöopathischen Ursubstanzen gewonnen worden sind.</w:t>
      </w:r>
    </w:p>
    <w:p>
      <w:r>
        <w:t xml:space="preserve">(2) Die zuständige Bundesoberbehörde kann die Registrierung mit Auflagen, insbesondere zur Aufnahme von Warnhinweisen oder besonderer Lagerungshinweise in der Packungsbeilage oder bei der Kennzeichnung der Behältnisse und äußeren Umhüllungen, verbinden. Auflagen können auch nachträglich angeordnet werden.</w:t>
      </w:r>
    </w:p>
    <w:p>
      <w:r>
        <w:rPr>
          <w:color w:val="555555"/>
          <w:sz w:val="17"/>
        </w:rPr>
        <w:t xml:space="preserve">Zitiervorschlag: § 2 HomTAMRegV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https://recht.nulegal.eu/gesetze/HomTAMRegV/2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