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HolzblMstrV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Auf Grund des § 51a Absatz 2 der Handwerksordnung in der Fassung der Bekanntmachung vom 24. September 1998 (BGBl. I S. 3074; 2006 I S. 2095), der zuletzt durch Artikel 283 der Verordnung vom 31. August 2015 (BGBl. I S. 1474) geändert worden ist, in Verbindung mit § 1 Absatz 2 des Zuständigkeitsanpassungsgesetzes vom 16. August 2002 (BGBl. I S. 3165) und dem Organisationserlass vom 8. Dezember 2021 (BGBl. I S. 5176),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