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HolzbhMstrV</w:t>
      </w:r>
    </w:p>
    <w:p>
      <w:r>
        <w:rPr>
          <w:color w:val="555555"/>
          <w:sz w:val="18"/>
        </w:rPr>
        <w:t xml:space="preserve">Holzbildhauermeisterverordnung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45 der Handwerksordnung in der Fassung der Bekanntmachung vom 28. Dezember 1965 (BGBl. 1966 I S. 1), der zuletzt durch Artikel 24 Nr. 1 des Gesetzes vom 18. März 1975 (BGBl. I S. 705) geändert worden ist, wird im Einvernehmen mit dem Bundesminister für Bildung und Wissenschaft verordnet:</w:t>
      </w:r>
    </w:p>
    <w:p>
      <w:r>
        <w:rPr>
          <w:color w:val="555555"/>
          <w:sz w:val="17"/>
        </w:rPr>
        <w:t xml:space="preserve">Zitiervorschlag: Eingangsformel HolzbhMstrV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https://recht.nulegal.eu/gesetze/HolzbhMstrV/eingangsformel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