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HolzbhMstrV — Inkrafttreten</w:t>
      </w:r>
    </w:p>
    <w:p>
      <w:r>
        <w:rPr>
          <w:color w:val="555555"/>
          <w:sz w:val="18"/>
        </w:rPr>
        <w:t xml:space="preserve">Holzbildhauermeisterverordnung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1. Oktober 1987 in Kraft.</w:t>
      </w:r>
    </w:p>
    <w:p>
      <w:r>
        <w:t xml:space="preserve">(2) Auf Grund des § 122 der Handwerksordnung weiter anzuwendende Vorschriften sind, soweit sie Gegenstände dieser Verordnung regeln, nicht mehr anzuwenden.</w:t>
      </w:r>
    </w:p>
    <w:p>
      <w:r>
        <w:rPr>
          <w:color w:val="555555"/>
          <w:sz w:val="17"/>
        </w:rPr>
        <w:t xml:space="preserve">Zitiervorschlag: § 9 HolzbhMstrV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https://recht.nulegal.eu/gesetze/HolzbhMstrV/9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