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HolzbhMstrV — Weitere Anforderungen</w:t>
      </w:r>
    </w:p>
    <w:p>
      <w:r>
        <w:rPr>
          <w:color w:val="555555"/>
          <w:sz w:val="18"/>
        </w:rPr>
        <w:t xml:space="preserve">Holzbildhauermeisterverordnung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HolzbhMstrV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https://recht.nulegal.eu/gesetze/HolzbhMstrV/7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HolzbhMstrV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