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HolzbhMstrV — Übergangsvorschrift</w:t>
      </w:r>
    </w:p>
    <w:p>
      <w:r>
        <w:rPr>
          <w:color w:val="555555"/>
          <w:sz w:val="18"/>
        </w:rPr>
        <w:t xml:space="preserve">Holzbildhauermeisterverordnung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bei Inkrafttreten dieser Verordnung laufenden Prüfungsverfahren werden nach den bisherigen Vorschriften zu Ende geführt.</w:t>
      </w:r>
    </w:p>
    <w:p>
      <w:r>
        <w:rPr>
          <w:color w:val="555555"/>
          <w:sz w:val="17"/>
        </w:rPr>
        <w:t xml:space="preserve">Zitiervorschlag: § 6 HolzbhMstrV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https://recht.nulegal.eu/gesetze/HolzbhMstrV/6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