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HolzbhMstrV — Arbeitsprobe</w:t>
      </w:r>
    </w:p>
    <w:p>
      <w:r>
        <w:rPr>
          <w:color w:val="555555"/>
          <w:sz w:val="18"/>
        </w:rPr>
        <w:t xml:space="preserve">Holzbildhauermeisterverordnung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Arbeitsprobe ist eine der nachstehend genannten Arbeiten auszuführen:</w:t>
      </w:r>
    </w:p>
    <w:p>
      <w:pPr>
        <w:ind w:left="420"/>
      </w:pPr>
      <w:r>
        <w:t xml:space="preserve">1. Herstellen eines Werkstückes mit Profilen oder Ornamenten,</w:t>
      </w:r>
    </w:p>
    <w:p>
      <w:pPr>
        <w:ind w:left="420"/>
      </w:pPr>
      <w:r>
        <w:t xml:space="preserve">2. Anlegen einer figürlichen Arbeit,</w:t>
      </w:r>
    </w:p>
    <w:p>
      <w:pPr>
        <w:ind w:left="420"/>
      </w:pPr>
      <w:r>
        <w:t xml:space="preserve">3. Entwerfen und bildhauerisches Ausführen einer Schrift oder eines Zeichens auf eine Holztafel.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HolzbhMstrV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https://recht.nulegal.eu/gesetze/HolzbhMstrV/4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