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§ 3 HolzbhMstrV — Meisterprüfungsarbeit</w:t>
      </w:r>
    </w:p>
    <w:p>
      <w:r>
        <w:rPr>
          <w:color w:val="555555"/>
          <w:sz w:val="18"/>
        </w:rPr>
        <w:t xml:space="preserve">Holzbildhauermeisterverordnung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Als Meisterprüfungsarbeit ist eine der nachstehend genannten Arbeiten zu entwerfen und anzufertigen:</w:t>
      </w:r>
    </w:p>
    <w:p>
      <w:pPr>
        <w:ind w:left="420"/>
      </w:pPr>
      <w:r>
        <w:t xml:space="preserve">1. ein architekturbezogenes Objekt, insbesondere ein Portal, ein Wandschmuck, eine Kragge, eine Konsole, ein Kopfstück am Fachwerk, eine Skulptur, eine Deckenbekleidung, ein Geländer oder eine Gedenktafel,</w:t>
      </w:r>
    </w:p>
    <w:p>
      <w:pPr>
        <w:ind w:left="420"/>
      </w:pPr>
      <w:r>
        <w:t xml:space="preserve">2. ein Bauteil, insbesondere ein Grabmal, ein Denkmal, ein Brunnen, eine Plastik, ein Relief oder ein Wappen mit bildhauerischem Schmuck,</w:t>
      </w:r>
    </w:p>
    <w:p>
      <w:pPr>
        <w:ind w:left="420"/>
      </w:pPr>
      <w:r>
        <w:t xml:space="preserve">3. ein Stilmöbel mit überwiegender Schnitzarbeit, insbesondere ein Sessel, ein Stuhl, ein Tisch, eine Konsole, ein Schrank oder ein Spiegel mit Beitisch,</w:t>
      </w:r>
    </w:p>
    <w:p>
      <w:pPr>
        <w:ind w:left="420"/>
      </w:pPr>
      <w:r>
        <w:t xml:space="preserve">4. eine Spiel- oder eine Freizeiteinrichtung.</w:t>
      </w:r>
    </w:p>
    <w:p>
      <w:r>
        <w:t xml:space="preserve">(2) Der Prüfling hat vor Anfertigung der Meisterprüfungsarbeit dem Meisterprüfungsausschuß den Entwurf und die Werkzeichnung mit Maßangaben und mit Vorkalkulation vorzulegen. Anstelle des Entwurfs kann er auch ein maßstabgetreues Modell einreichen.</w:t>
      </w:r>
    </w:p>
    <w:p>
      <w:r>
        <w:t xml:space="preserve">(3) Mit der Meisterprüfungsarbeit hat er den Arbeitsbericht und die Nachkalkulation abzugeben.</w:t>
      </w:r>
    </w:p>
    <w:p>
      <w:r>
        <w:rPr>
          <w:color w:val="555555"/>
          <w:sz w:val="17"/>
        </w:rPr>
        <w:t xml:space="preserve">Zitiervorschlag: § 3 HolzbhMstrV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https://recht.nulegal.eu/gesetze/HolzbhMstrV/3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recht.bund.de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§ 3 HolzbhMstrV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