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HolzbhAusbV — Ausbildungsdauer</w:t>
      </w:r>
    </w:p>
    <w:p>
      <w:r>
        <w:rPr>
          <w:color w:val="555555"/>
          <w:sz w:val="18"/>
        </w:rPr>
        <w:t xml:space="preserve">Verordnung über die Berufsausbildung zum Holzbildhauer/zur Holzbildhauerin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3 HolzbhAusbV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https://recht.nulegal.eu/gesetze/HolzbhAusbV/3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