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HolzbhAusbV — Inkrafttreten</w:t>
      </w:r>
    </w:p>
    <w:p>
      <w:r>
        <w:rPr>
          <w:color w:val="555555"/>
          <w:sz w:val="18"/>
        </w:rPr>
        <w:t xml:space="preserve">Verordnung über die Berufsausbildung zum Holzbildhauer/zur Holzbildhauerin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1997 in Kraft.</w:t>
      </w:r>
    </w:p>
    <w:p>
      <w:r>
        <w:rPr>
          <w:color w:val="555555"/>
          <w:sz w:val="17"/>
        </w:rPr>
        <w:t xml:space="preserve">Zitiervorschlag: § 12 HolzbhAusbV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