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HolzbInstrmMAusbV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und des § 25 der Handwerksordnung in der Fassung der Bekanntmachung von 28. Dezember 1965 (BGBl. 1966 I S. 1), der zuletzt durch Artikel 1 Nr. 63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