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HolzSiG — Einziehung</w:t>
      </w:r>
    </w:p>
    <w:p>
      <w:r>
        <w:rPr>
          <w:color w:val="555555"/>
          <w:sz w:val="18"/>
        </w:rPr>
        <w:t xml:space="preserve">Holzhandels-Sicherungs-Gesetz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Gegenstände, auf die sich eine Ordnungswidrigkeit nach § 7 oder eine Straftat nach § 8 bezieht, und Gegenstände, die zu ihrer Begehung oder Vorbereitung gebraucht worden oder bestimmt gewesen sind, können eingezogen werden. § 74a des Strafgesetzbuchs und § 23 des Gesetzes über Ordnungswidrigkeiten sind anzuwenden.</w:t>
      </w:r>
    </w:p>
    <w:p>
      <w:r>
        <w:rPr>
          <w:color w:val="555555"/>
          <w:sz w:val="17"/>
        </w:rPr>
        <w:t xml:space="preserve">Zitiervorschlag: § 9 HolzSiG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https://recht.nulegal.eu/gesetze/HolzSiG/9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