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HolzBauSchAusbV — Struktur der Berufsausbildung für den Ausbildungsberuf Holz- und Bautenschützer/Holz- und Bautenschützerin</w:t>
      </w:r>
    </w:p>
    <w:p>
      <w:r>
        <w:rPr>
          <w:color w:val="555555"/>
          <w:sz w:val="18"/>
        </w:rPr>
        <w:t xml:space="preserve">Verordnung über die Berufsausbildung im Holz- und Bautenschutzgewerbe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im Ausbildungsberuf Holz- und Bautenschützer /Holz- und Bautenschützerin gliedert sich in gemeinsame Ausbildungsinhalte und die Ausbildung in einer der Fachrichtungen Holzschutz oder Bautenschutz.</w:t>
      </w:r>
    </w:p>
    <w:p>
      <w:r>
        <w:rPr>
          <w:color w:val="555555"/>
          <w:sz w:val="17"/>
        </w:rPr>
        <w:t xml:space="preserve">Zitiervorschlag: § 3 HolzBauSchAusbV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https://recht.nulegal.eu/gesetze/HolzBauSchAusbV/3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HolzBauSchAusbV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