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HoheSeeEinbrG — Einbringungsverbot, Ausnahmen</w:t>
      </w:r>
    </w:p>
    <w:p>
      <w:r>
        <w:rPr>
          <w:color w:val="555555"/>
          <w:sz w:val="18"/>
        </w:rPr>
        <w:t xml:space="preserve">Hohe-See-Einbringungsgesetz</w:t>
      </w:r>
    </w:p>
    <w:p>
      <w:r>
        <w:rPr>
          <w:color w:val="555555"/>
          <w:sz w:val="18"/>
        </w:rPr>
        <w:t xml:space="preserve">Stand: 12.06.2019 (konsolidierte Textfassung, kein amtliches Inkrafttretensdatum)</w:t>
      </w:r>
    </w:p>
    <w:p>
      <w:r>
        <w:t xml:space="preserve">Das Einbringen von Abfällen und sonstigen Stoffen und Gegenständen in die Hohe See ist verboten. Ausgenommen von diesem Verbot sind:</w:t>
      </w:r>
    </w:p>
    <w:p>
      <w:pPr>
        <w:ind w:left="420"/>
      </w:pPr>
      <w:r>
        <w:t xml:space="preserve">1. Baggergut,</w:t>
      </w:r>
    </w:p>
    <w:p>
      <w:pPr>
        <w:ind w:left="420"/>
      </w:pPr>
      <w:r>
        <w:t xml:space="preserve">2. Urnen zur Seebestattung (Behältnisse, die mit der Asche aus der Verbrennung eines menschlichen Leichnams gefüllt sind),</w:t>
      </w:r>
    </w:p>
    <w:p>
      <w:pPr>
        <w:ind w:left="420"/>
      </w:pPr>
      <w:r>
        <w:t xml:space="preserve">3. Stoffe und Gegenstände, die im Rahmen von Maßnahmen des marinen Geo-Engineerings, die in der Anlage aufgeführt worden sind, eingebracht werden.</w:t>
      </w:r>
    </w:p>
    <w:p>
      <w:r>
        <w:rPr>
          <w:color w:val="555555"/>
          <w:sz w:val="17"/>
        </w:rPr>
        <w:t xml:space="preserve">Zitiervorschlag: § 4 HoheSeeEinbrG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https://recht.nulegal.eu/gesetze/HoheSeeEinbrG/4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