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HoheSeeEinbrG — Bußgeldvorschriften</w:t>
      </w:r>
    </w:p>
    <w:p>
      <w:r>
        <w:rPr>
          <w:color w:val="555555"/>
          <w:sz w:val="18"/>
        </w:rPr>
        <w:t xml:space="preserve">Hohe-See-Einbringungsgesetz</w:t>
      </w:r>
    </w:p>
    <w:p>
      <w:r>
        <w:rPr>
          <w:color w:val="555555"/>
          <w:sz w:val="18"/>
        </w:rPr>
        <w:t xml:space="preserve">Stand: 12.06.2019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4 Satz 1 Abfälle oder sonstige Stoffe oder Gegenstände in die See einbringt,</w:t>
      </w:r>
    </w:p>
    <w:p>
      <w:pPr>
        <w:ind w:left="420"/>
      </w:pPr>
      <w:r>
        <w:t xml:space="preserve">2. ohne Erlaubnis nach § 5 Absatz 1 Satz 1 Stoffe oder Gegenstände einbringt,</w:t>
      </w:r>
    </w:p>
    <w:p>
      <w:pPr>
        <w:ind w:left="420"/>
      </w:pPr>
      <w:r>
        <w:t xml:space="preserve">3. eine Bedingung nach § 5 Absatz 2 Satz 1 nicht einhält,</w:t>
      </w:r>
    </w:p>
    <w:p>
      <w:pPr>
        <w:ind w:left="420"/>
      </w:pPr>
      <w:r>
        <w:t xml:space="preserve">4. einer vollziehbaren Auflage nach § 5 Absatz 2 Satz 1 zuwiderhandelt,</w:t>
      </w:r>
    </w:p>
    <w:p>
      <w:pPr>
        <w:ind w:left="420"/>
      </w:pPr>
      <w:r>
        <w:t xml:space="preserve">5. entgegen § 6 Abfälle oder sonstige Stoffe verbrennt oder</w:t>
      </w:r>
    </w:p>
    <w:p>
      <w:pPr>
        <w:ind w:left="420"/>
      </w:pPr>
      <w:r>
        <w:t xml:space="preserve">6. entgegen § 7 Satz 2 eine Meldung nicht, nicht richtig, nicht vollständig oder nicht rechtzeitig macht.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Sinne des § 36 Absatz 1 Nummer 1 des Gesetzes über Ordnungswidrigkeiten ist das Bundesamt für Seeschifffahrt und Hydrographie.</w:t>
      </w:r>
    </w:p>
    <w:p>
      <w:r>
        <w:rPr>
          <w:color w:val="555555"/>
          <w:sz w:val="17"/>
        </w:rPr>
        <w:t xml:space="preserve">Zitiervorschlag: § 10 HoheSeeEinbrG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https://recht.nulegal.eu/gesetze/HoheSeeEinbrG/10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