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HoheSeeÜbkG</w:t>
      </w:r>
    </w:p>
    <w:p>
      <w:r>
        <w:rPr>
          <w:color w:val="555555"/>
          <w:sz w:val="18"/>
        </w:rPr>
        <w:t xml:space="preserve">Gesetz zum Übereinkommen vom 29. April 1958 über die Hohe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Rechtsverordnung nach Artikel 2 Abs. 1 zuwiderhandelt, soweit sie für einen bestimmten Tatbestand auf diese Bußgeldvorschrift verweist.</w:t>
      </w:r>
    </w:p>
    <w:p>
      <w:r>
        <w:t xml:space="preserve">(2) Die Ordnungswidrigkeit kann mit einer Geldbuße bis zu 100.000 (einhunderttausend) Deutsche Mark geahndet werden.</w:t>
      </w:r>
    </w:p>
    <w:p>
      <w:r>
        <w:rPr>
          <w:color w:val="555555"/>
          <w:sz w:val="17"/>
        </w:rPr>
        <w:t xml:space="preserve">Zitiervorschlag: Art 4 HoheSeeÜbkG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https://recht.nulegal.eu/gesetze/HoheSee%C3%9CbkG/4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HoheSeeÜbkG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