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HohSeeEinbrV — Inkrafttreten</w:t>
      </w:r>
    </w:p>
    <w:p>
      <w:r>
        <w:rPr>
          <w:color w:val="555555"/>
          <w:sz w:val="18"/>
        </w:rPr>
        <w:t xml:space="preserve">Hohe-See-Einbringungsverordnung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5 HohSeeEinbrV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https://recht.nulegal.eu/gesetze/HohSeeEinbrV/5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