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HofV 2017</w:t>
      </w:r>
    </w:p>
    <w:p>
      <w:r>
        <w:rPr>
          <w:color w:val="555555"/>
          <w:sz w:val="18"/>
        </w:rPr>
        <w:t xml:space="preserve">Hofraumverordnung</w:t>
      </w:r>
    </w:p>
    <w:p>
      <w:r>
        <w:rPr>
          <w:color w:val="555555"/>
          <w:sz w:val="18"/>
        </w:rPr>
        <w:t xml:space="preserve">Stand: 19.11.2025 (konsolidierte Textfassung, kein amtliches Inkrafttretensdatum)</w:t>
      </w:r>
    </w:p>
    <w:p>
      <w:r>
        <w:t xml:space="preserve">Auf Grund des § 23 des Bodensonderungsgesetzes, der durch Artikel 186 der Verordnung vom 31. August 2015 (BGBl. I S. 1474) geändert worden ist, verordnet das Bundesministerium der Justiz und für Verbraucherschutz:</w:t>
      </w:r>
    </w:p>
    <w:p>
      <w:r>
        <w:rPr>
          <w:color w:val="555555"/>
          <w:sz w:val="17"/>
        </w:rPr>
        <w:t xml:space="preserve">Zitiervorschlag: Eingangsformel HofV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https://recht.nulegal.eu/gesetze/HofV%202017/eingangsformel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