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HofV 2017 — Außerkrafttreten</w:t>
      </w:r>
    </w:p>
    <w:p>
      <w:r>
        <w:rPr>
          <w:color w:val="555555"/>
          <w:sz w:val="18"/>
        </w:rPr>
        <w:t xml:space="preserve">Hofraumverordnung</w:t>
      </w:r>
    </w:p>
    <w:p>
      <w:r>
        <w:rPr>
          <w:color w:val="555555"/>
          <w:sz w:val="18"/>
        </w:rPr>
        <w:t xml:space="preserve">Stand: 19.11.2025 (konsolidierte Textfassung, kein amtliches Inkrafttretensdatum)</w:t>
      </w:r>
    </w:p>
    <w:p>
      <w:r>
        <w:t xml:space="preserve">Diese Verordnung tritt mit Ablauf des 31. Dezember 2035 außer Kraft.</w:t>
      </w:r>
    </w:p>
    <w:p>
      <w:r>
        <w:rPr>
          <w:color w:val="555555"/>
          <w:sz w:val="17"/>
        </w:rPr>
        <w:t xml:space="preserve">Zitiervorschlag: § 3 HofV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https://recht.nulegal.eu/gesetze/HofV%202017/3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