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HofV 2017 — Bezeichnung des Grundstücks</w:t>
      </w:r>
    </w:p>
    <w:p>
      <w:r>
        <w:rPr>
          <w:color w:val="555555"/>
          <w:sz w:val="18"/>
        </w:rPr>
        <w:t xml:space="preserve">Hofraumverordnung</w:t>
      </w:r>
    </w:p>
    <w:p>
      <w:r>
        <w:rPr>
          <w:color w:val="555555"/>
          <w:sz w:val="18"/>
        </w:rPr>
        <w:t xml:space="preserve">Stand: 19.11.2025 (konsolidierte Textfassung, kein amtliches Inkrafttretensdatum)</w:t>
      </w:r>
    </w:p>
    <w:p>
      <w:r>
        <w:t xml:space="preserve">(1) Im Grundbuch ist das Grundstück, das dort als Anteil an einem ungetrennten Hofraum bezeichnet ist, mit der Nummer des Gebäudesteuerbuchs oder im Falle ihres Fehlens mit der Bezeichnung und dem Aktenzeichen des Bescheids unter Angabe der Behörde, die ihn erlassen hat, zu bezeichnen.</w:t>
      </w:r>
    </w:p>
    <w:p>
      <w:r>
        <w:t xml:space="preserve">(2) Bei Grundstücken nach § 1 Absatz 1, die nicht gemäß Absatz 1 bezeichnet sind, kann diese Bezeichnung von Amts wegen nachgeholt werden. Sie ist von Amts wegen nachzuholen, wenn in dem jeweiligen Grundbuch eine sonstige Eintragung vorgenommen werden soll.</w:t>
      </w:r>
    </w:p>
    <w:p>
      <w:r>
        <w:rPr>
          <w:color w:val="555555"/>
          <w:sz w:val="17"/>
        </w:rPr>
        <w:t xml:space="preserve">Zitiervorschlag: § 2 HofV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https://recht.nulegal.eu/gesetze/HofV%202017/2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