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HoerfUeberlStVertr (Bayern) — Inkrafttreten</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Dieser Staatsvertrag tritt am 1. Januar 1994 in Kraft.</w:t>
      </w:r>
    </w:p>
    <w:p>
      <w:r>
        <w:t xml:space="preserve">(2) Sind bis zum 31. Dezember 1993 nicht alle Ratifikationsurkunden der Vertragsparteien beim Vorsitzenden der Ministerpräsidentenkonferenz der Länder hinterlegt, wird der Staatsvertrag gegenstandslos. Der Staatsvertrag wird ferner gegenstandslos, wenn nicht spätestens zum 1. Januar 1994 der in Artikel 1 Abs. 2 Nr. 3 genannte Staatsvertrag in Kraft getreten ist oder nicht spätestens zum 1. Januar 1994 eine Änderung in Kraft getreten ist, durch die im Gesetz über die Errichtung von Rundfunkanstalten des Bundesrechts der Programmauftrag und die Rechtsfähigkeit des Deutschlandfunks aufgehoben worden sind. Der Staatsvertrag wird auch gegenstandslos, wenn nicht spätestens zum 1. Januar 1994 eine Änderung in Kraft getreten ist, durch die im Statut des RIAS Berlin vom 1. Januar 1973, gültig nach deutschem Recht seit 3. Oktober 1990 aufgrund von Artikel 2 des Übereinkommens zur Regelung bestimmter Fragen in bezug auf Berlin vom 25. September 1990 (BGBl. 1990 II S. 1274), der Programmauftrag und die Einrichtung des RIAS Berlin aufgehoben werden.</w:t>
      </w:r>
    </w:p>
    <w:p>
      <w:r>
        <w:rPr>
          <w:color w:val="555555"/>
          <w:sz w:val="17"/>
        </w:rPr>
        <w:t xml:space="preserve">Zitiervorschlag: Art 9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