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HochschulZV (Brandenburg) — Inkrafttreten, Außerkrafttreten</w:t>
      </w:r>
    </w:p>
    <w:p>
      <w:r>
        <w:rPr>
          <w:color w:val="555555"/>
          <w:sz w:val="18"/>
        </w:rPr>
        <w:t xml:space="preserve">Hochschulpersonalzuständigkeitsverordnung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Hochschulpersonalzuständigkeitsverordnung vom 25. Oktober 2002 (GVBl. II S. 643), die durch Artikel 2 Absatz 6 des Gesetzes vom 18. Dezember 2008 (GVBl. I S. 318, 354) geändert worden ist, außer Kraft.</w:t>
      </w:r>
    </w:p>
    <w:p>
      <w:r>
        <w:t xml:space="preserve">Einzelnorm</w:t>
      </w:r>
    </w:p>
    <w:p>
      <w:r>
        <w:t xml:space="preserve">Potsdam, den 6. März 2018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6 HochschulZV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https://recht.nulegal.eu/gesetze/HochschulZV/6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