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HochschulZV (Brandenburg) — Anwendungsbereich</w:t>
      </w:r>
    </w:p>
    <w:p>
      <w:r>
        <w:rPr>
          <w:color w:val="555555"/>
          <w:sz w:val="18"/>
        </w:rPr>
        <w:t xml:space="preserve">Hochschulpersonalzuständigkeitsverordnung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an den Hochschulen des Landes tätigen Angehörigen des öffentlichen Dienstes (Hochschulbediensteten) im Sinne des § 37 Absatz 1 Satz 1 des Brandenburgischen Hochschulgesetzes. Diese Verordnung findet keine Anwendung auf die Europa-Universität Viadrina Frankfurt (Oder).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HochschulZV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https://recht.nulegal.eu/gesetze/HochschulZV/1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